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Допуск в эксплуатацию прибора учета.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(процесса)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поступление обращения заявителя, при  наличии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технологического присоединения к </w:t>
      </w:r>
      <w:proofErr w:type="spellStart"/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электрическис</w:t>
      </w:r>
      <w:proofErr w:type="spellEnd"/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сетям ООО «Электросети» и заключенного договора на электроснабжение электрической энергии с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организацией, либо по письму от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при заключении договора на электроснабжение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="001230ED"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допуска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 месяца, следующего за датой его установки</w:t>
      </w:r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(п.152 </w:t>
      </w:r>
      <w:r w:rsidR="00B9043E" w:rsidRPr="000635C4">
        <w:rPr>
          <w:rFonts w:ascii="Times New Roman" w:eastAsia="Calibri" w:hAnsi="Times New Roman" w:cs="Times New Roman"/>
          <w:lang w:eastAsia="en-US"/>
        </w:rPr>
        <w:t>Постановления правительства РФ от 04.05.2012 №442</w:t>
      </w:r>
      <w:r w:rsidRPr="000635C4">
        <w:rPr>
          <w:rFonts w:ascii="Times New Roman" w:eastAsia="Times New Roman" w:hAnsi="Times New Roman"/>
          <w:sz w:val="24"/>
          <w:szCs w:val="24"/>
        </w:rPr>
        <w:t>)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969"/>
        <w:gridCol w:w="1701"/>
        <w:gridCol w:w="3544"/>
        <w:gridCol w:w="2835"/>
      </w:tblGrid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1230ED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 </w:t>
            </w:r>
            <w:proofErr w:type="gramStart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ind w:right="4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Подача письменного заявления на допуск в эксплуатацию  прибора учета от потребителя или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 реквизиты заявителя, место нахождения энергопринимающих устройств, номер договора энергоснабжения, контактные данные (включая номер телефона), метрологические характеристики прибора учета и измерительного комплекса, согласованную однолинейную схему с сетевой организацией или проект электроснабжения, акт разграничения балансовой принадлежности.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Не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установлен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144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даты допуска прибора учета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Рассмотрение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предложенных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потребителем даты и времени проведения процедуры допуска прибора  учета в эксплуатацию и согласование 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5 рабочих дней со дня получения заявки.</w:t>
            </w: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183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В случае невозможности исполнения заявки в указанный заявителем срок, согласование иных даты и времени проведения процедуры допуска прибора  учета в эксплуатацию.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1230E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Письменное предложение о новой дате и времени 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лично, письмом, телефонограммой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получения заявки.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21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3. Уведомление гарантирующего поставщика, собственника прибора учета и собственника энергопринимающих приборов о дате, времени и месте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проведения процедуры допуска прибора  учета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в эксплуатацию с указанием сведений, содержащихся в заявке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Письмом или телефонограммой</w:t>
            </w: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1 рабочего дня со дня получения заявки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Техническая (инструментальная) проверка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– осуществление потребителем допуска к электроустановке, подготовка рабочего места (проведение организационных и технических мероприятий по Охране Труда).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Содержание: 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работе персонала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места установки и схемы подключения прибора учет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а(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поверителя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), а также соответствия вводимого в эксплуатацию прибора учета  требованиям в части его метрологических характеристик.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3.Проведение инструментальной проверки.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4.Установка контрольных одноразовых номерных пломб и знаков визуального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Не позднее 15 рабочих дней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получения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B9043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84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допуска прибора учета (измерительного комплекса)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- отсутствие замечаний в ходе выполнения инструментальной проверки.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B90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152,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</w:tc>
      </w:tr>
      <w:tr w:rsidR="00735D02" w:rsidRPr="000635C4" w:rsidTr="001230ED">
        <w:trPr>
          <w:trHeight w:val="57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допуска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 окончании инструментальной проверки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5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Расчет потерь, если прибор учета установлен не на границе балансовой принадлежности.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Составление Акта расчета потерь электроэнергии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87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Направление копий актов лицам, не явившимся для участия в процедуре допуска прибора учета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о почте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2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рабочих дней </w:t>
            </w:r>
            <w:proofErr w:type="gramStart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с даты проведения</w:t>
            </w:r>
            <w:proofErr w:type="gramEnd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инструментальной проверки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801EF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2015-03-11T05:23:00Z</dcterms:created>
  <dcterms:modified xsi:type="dcterms:W3CDTF">2015-03-11T05:23:00Z</dcterms:modified>
</cp:coreProperties>
</file>